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47" w:rsidRPr="00326E0F" w:rsidRDefault="00A16247" w:rsidP="00326E0F">
      <w:pPr>
        <w:spacing w:before="20" w:after="200" w:line="360" w:lineRule="auto"/>
        <w:rPr>
          <w:rFonts w:eastAsiaTheme="minorHAnsi"/>
          <w:sz w:val="28"/>
          <w:szCs w:val="28"/>
          <w:lang w:val="ru-RU" w:eastAsia="en-US"/>
        </w:rPr>
      </w:pPr>
      <w:bookmarkStart w:id="0" w:name="_GoBack"/>
      <w:bookmarkEnd w:id="0"/>
      <w:r w:rsidRPr="00326E0F">
        <w:rPr>
          <w:rFonts w:eastAsiaTheme="minorHAnsi"/>
          <w:sz w:val="28"/>
          <w:szCs w:val="28"/>
          <w:lang w:val="ru-RU" w:eastAsia="en-US"/>
        </w:rPr>
        <w:t xml:space="preserve">УДК 534.833 </w:t>
      </w:r>
    </w:p>
    <w:p w:rsidR="00326E0F" w:rsidRPr="00326E0F" w:rsidRDefault="00326E0F" w:rsidP="00326E0F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val="ru-RU" w:eastAsia="en-US"/>
        </w:rPr>
      </w:pPr>
      <w:r w:rsidRPr="00326E0F">
        <w:rPr>
          <w:rFonts w:eastAsiaTheme="minorHAnsi"/>
          <w:b/>
          <w:sz w:val="28"/>
          <w:szCs w:val="28"/>
          <w:lang w:val="ru-RU" w:eastAsia="en-US"/>
        </w:rPr>
        <w:t xml:space="preserve">Экспериментальные исследования эффективности адаптивных систем активного гашения низкочастотных </w:t>
      </w:r>
      <w:proofErr w:type="spellStart"/>
      <w:r w:rsidRPr="00326E0F">
        <w:rPr>
          <w:rFonts w:eastAsiaTheme="minorHAnsi"/>
          <w:b/>
          <w:sz w:val="28"/>
          <w:szCs w:val="28"/>
          <w:lang w:val="ru-RU" w:eastAsia="en-US"/>
        </w:rPr>
        <w:t>виброакустическтих</w:t>
      </w:r>
      <w:proofErr w:type="spellEnd"/>
      <w:r w:rsidRPr="00326E0F">
        <w:rPr>
          <w:rFonts w:eastAsiaTheme="minorHAnsi"/>
          <w:b/>
          <w:sz w:val="28"/>
          <w:szCs w:val="28"/>
          <w:lang w:val="ru-RU" w:eastAsia="en-US"/>
        </w:rPr>
        <w:t xml:space="preserve"> полей</w:t>
      </w:r>
    </w:p>
    <w:p w:rsidR="00A16247" w:rsidRPr="00326E0F" w:rsidRDefault="00A16247" w:rsidP="00326E0F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val="ru-RU" w:eastAsia="en-US"/>
        </w:rPr>
      </w:pPr>
      <w:r w:rsidRPr="00326E0F">
        <w:rPr>
          <w:rFonts w:eastAsiaTheme="minorHAnsi"/>
          <w:sz w:val="28"/>
          <w:szCs w:val="28"/>
          <w:lang w:val="ru-RU" w:eastAsia="en-US"/>
        </w:rPr>
        <w:t>Белов</w:t>
      </w:r>
      <w:r w:rsidR="00326E0F" w:rsidRPr="00326E0F">
        <w:rPr>
          <w:rFonts w:eastAsiaTheme="minorHAnsi"/>
          <w:sz w:val="28"/>
          <w:szCs w:val="28"/>
          <w:lang w:val="ru-RU" w:eastAsia="en-US"/>
        </w:rPr>
        <w:t xml:space="preserve"> В.Д.</w:t>
      </w:r>
      <w:r w:rsidRPr="00326E0F">
        <w:rPr>
          <w:rFonts w:eastAsiaTheme="minorHAnsi"/>
          <w:sz w:val="28"/>
          <w:szCs w:val="28"/>
          <w:lang w:val="ru-RU" w:eastAsia="en-US"/>
        </w:rPr>
        <w:t>, Гладилин</w:t>
      </w:r>
      <w:r w:rsidR="00326E0F" w:rsidRPr="00326E0F">
        <w:rPr>
          <w:rFonts w:eastAsiaTheme="minorHAnsi"/>
          <w:sz w:val="28"/>
          <w:szCs w:val="28"/>
          <w:lang w:val="ru-RU" w:eastAsia="en-US"/>
        </w:rPr>
        <w:t xml:space="preserve"> А.В.</w:t>
      </w:r>
      <w:r w:rsidRPr="00326E0F">
        <w:rPr>
          <w:rFonts w:eastAsiaTheme="minorHAnsi"/>
          <w:sz w:val="28"/>
          <w:szCs w:val="28"/>
          <w:lang w:val="ru-RU" w:eastAsia="en-US"/>
        </w:rPr>
        <w:t xml:space="preserve">, </w:t>
      </w:r>
      <w:proofErr w:type="spellStart"/>
      <w:r w:rsidRPr="00326E0F">
        <w:rPr>
          <w:rFonts w:eastAsiaTheme="minorHAnsi"/>
          <w:sz w:val="28"/>
          <w:szCs w:val="28"/>
          <w:lang w:val="ru-RU" w:eastAsia="en-US"/>
        </w:rPr>
        <w:t>Мигун</w:t>
      </w:r>
      <w:proofErr w:type="spellEnd"/>
      <w:r w:rsidR="00326E0F" w:rsidRPr="00326E0F">
        <w:rPr>
          <w:rFonts w:eastAsiaTheme="minorHAnsi"/>
          <w:sz w:val="28"/>
          <w:szCs w:val="28"/>
          <w:lang w:val="ru-RU" w:eastAsia="en-US"/>
        </w:rPr>
        <w:t xml:space="preserve"> Ю.Г.</w:t>
      </w:r>
      <w:r w:rsidRPr="00326E0F">
        <w:rPr>
          <w:rFonts w:eastAsiaTheme="minorHAnsi"/>
          <w:sz w:val="28"/>
          <w:szCs w:val="28"/>
          <w:lang w:val="ru-RU" w:eastAsia="en-US"/>
        </w:rPr>
        <w:t>, Орлов</w:t>
      </w:r>
      <w:r w:rsidR="00326E0F" w:rsidRPr="00326E0F">
        <w:rPr>
          <w:rFonts w:eastAsiaTheme="minorHAnsi"/>
          <w:sz w:val="28"/>
          <w:szCs w:val="28"/>
          <w:lang w:val="ru-RU" w:eastAsia="en-US"/>
        </w:rPr>
        <w:t xml:space="preserve"> А.И.</w:t>
      </w:r>
      <w:r w:rsidRPr="00326E0F">
        <w:rPr>
          <w:rFonts w:eastAsiaTheme="minorHAnsi"/>
          <w:sz w:val="28"/>
          <w:szCs w:val="28"/>
          <w:lang w:val="ru-RU" w:eastAsia="en-US"/>
        </w:rPr>
        <w:t>, Смагин</w:t>
      </w:r>
      <w:r w:rsidR="00326E0F" w:rsidRPr="00326E0F">
        <w:rPr>
          <w:rFonts w:eastAsiaTheme="minorHAnsi"/>
          <w:sz w:val="28"/>
          <w:szCs w:val="28"/>
          <w:lang w:val="ru-RU" w:eastAsia="en-US"/>
        </w:rPr>
        <w:t xml:space="preserve"> Д.А</w:t>
      </w:r>
      <w:r w:rsidRPr="00326E0F">
        <w:rPr>
          <w:rFonts w:eastAsiaTheme="minorHAnsi"/>
          <w:sz w:val="28"/>
          <w:szCs w:val="28"/>
          <w:lang w:val="ru-RU" w:eastAsia="en-US"/>
        </w:rPr>
        <w:t>.</w:t>
      </w:r>
    </w:p>
    <w:p w:rsidR="00A16247" w:rsidRPr="00326E0F" w:rsidRDefault="00326E0F" w:rsidP="00326E0F">
      <w:pPr>
        <w:spacing w:before="20" w:after="200" w:line="360" w:lineRule="auto"/>
        <w:contextualSpacing/>
        <w:jc w:val="both"/>
        <w:rPr>
          <w:rStyle w:val="a8"/>
          <w:rFonts w:eastAsiaTheme="minorHAnsi"/>
          <w:color w:val="0000FF" w:themeColor="hyperlink"/>
          <w:sz w:val="22"/>
          <w:szCs w:val="28"/>
          <w:lang w:eastAsia="en-US"/>
        </w:rPr>
      </w:pPr>
      <w:hyperlink r:id="rId4" w:history="1">
        <w:r w:rsidRPr="00326E0F">
          <w:rPr>
            <w:rStyle w:val="a8"/>
            <w:rFonts w:eastAsiaTheme="minorHAnsi"/>
            <w:color w:val="0000FF" w:themeColor="hyperlink"/>
            <w:sz w:val="22"/>
            <w:szCs w:val="28"/>
            <w:lang w:eastAsia="en-US"/>
          </w:rPr>
          <w:t>ras@akin.ru</w:t>
        </w:r>
      </w:hyperlink>
    </w:p>
    <w:p w:rsidR="00A16247" w:rsidRPr="00326E0F" w:rsidRDefault="00A16247" w:rsidP="00326E0F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val="ru-RU" w:eastAsia="en-US"/>
        </w:rPr>
      </w:pPr>
      <w:r w:rsidRPr="00326E0F">
        <w:rPr>
          <w:rFonts w:eastAsiaTheme="minorHAnsi"/>
          <w:i/>
          <w:sz w:val="28"/>
          <w:szCs w:val="28"/>
          <w:lang w:val="ru-RU" w:eastAsia="en-US"/>
        </w:rPr>
        <w:t>Акустический институт им. акад. Н. Н. Андреева</w:t>
      </w:r>
      <w:r w:rsidR="00326E0F">
        <w:rPr>
          <w:rFonts w:eastAsiaTheme="minorHAnsi"/>
          <w:i/>
          <w:sz w:val="28"/>
          <w:szCs w:val="28"/>
          <w:lang w:val="ru-RU" w:eastAsia="en-US"/>
        </w:rPr>
        <w:t xml:space="preserve">, </w:t>
      </w:r>
      <w:r w:rsidRPr="00326E0F">
        <w:rPr>
          <w:rFonts w:eastAsiaTheme="minorHAnsi"/>
          <w:i/>
          <w:sz w:val="28"/>
          <w:szCs w:val="28"/>
          <w:lang w:val="ru-RU" w:eastAsia="en-US"/>
        </w:rPr>
        <w:t xml:space="preserve">Россия, 117036 Москва, ул. </w:t>
      </w:r>
      <w:proofErr w:type="spellStart"/>
      <w:r w:rsidRPr="00326E0F">
        <w:rPr>
          <w:rFonts w:eastAsiaTheme="minorHAnsi"/>
          <w:i/>
          <w:sz w:val="28"/>
          <w:szCs w:val="28"/>
          <w:lang w:val="ru-RU" w:eastAsia="en-US"/>
        </w:rPr>
        <w:t>Шверника</w:t>
      </w:r>
      <w:proofErr w:type="spellEnd"/>
      <w:r w:rsidRPr="00326E0F">
        <w:rPr>
          <w:rFonts w:eastAsiaTheme="minorHAnsi"/>
          <w:i/>
          <w:sz w:val="28"/>
          <w:szCs w:val="28"/>
          <w:lang w:val="ru-RU" w:eastAsia="en-US"/>
        </w:rPr>
        <w:t>, д.4</w:t>
      </w:r>
    </w:p>
    <w:p w:rsidR="00964999" w:rsidRPr="00326E0F" w:rsidRDefault="00964999" w:rsidP="00326E0F">
      <w:pPr>
        <w:pStyle w:val="2"/>
        <w:spacing w:line="360" w:lineRule="auto"/>
        <w:ind w:firstLine="426"/>
        <w:rPr>
          <w:rStyle w:val="a5"/>
          <w:color w:val="000000"/>
          <w:sz w:val="28"/>
        </w:rPr>
      </w:pPr>
    </w:p>
    <w:p w:rsidR="00B520D1" w:rsidRPr="00326E0F" w:rsidRDefault="00B520D1" w:rsidP="00326E0F">
      <w:pPr>
        <w:spacing w:line="360" w:lineRule="auto"/>
        <w:ind w:firstLine="426"/>
        <w:jc w:val="both"/>
        <w:rPr>
          <w:sz w:val="28"/>
          <w:lang w:val="ru-RU"/>
        </w:rPr>
      </w:pPr>
      <w:r w:rsidRPr="00326E0F">
        <w:rPr>
          <w:sz w:val="28"/>
          <w:lang w:val="ru-RU"/>
        </w:rPr>
        <w:t>Возможности снижения низкочастотного шума и вибрации до требуемых норм пассивными средствами ограниченны. В транспортных объектах типа судов, локомотивов, самолетов и т.п. такие ограничения особенно существенны, т.к. практически отсутствуют резервы увеличения массы пассивных средств и объема для их размещения. Альтернативой пассивным являются активные средства, которые дополняют пассивные средства, расширяя частотный диапазон эффективного гашения шума</w:t>
      </w:r>
      <w:r w:rsidR="007956B1" w:rsidRPr="00326E0F">
        <w:rPr>
          <w:sz w:val="28"/>
          <w:lang w:val="ru-RU"/>
        </w:rPr>
        <w:t xml:space="preserve"> и вибрации</w:t>
      </w:r>
      <w:r w:rsidRPr="00326E0F">
        <w:rPr>
          <w:sz w:val="28"/>
          <w:lang w:val="ru-RU"/>
        </w:rPr>
        <w:t xml:space="preserve"> в сторону более низких частот. </w:t>
      </w:r>
    </w:p>
    <w:p w:rsidR="00A16247" w:rsidRPr="00326E0F" w:rsidRDefault="00A16247" w:rsidP="00326E0F">
      <w:pPr>
        <w:pStyle w:val="2"/>
        <w:spacing w:line="360" w:lineRule="auto"/>
        <w:ind w:firstLine="426"/>
        <w:rPr>
          <w:sz w:val="28"/>
        </w:rPr>
      </w:pPr>
      <w:r w:rsidRPr="00326E0F">
        <w:rPr>
          <w:sz w:val="28"/>
        </w:rPr>
        <w:t xml:space="preserve">В работе рассмотрены результаты экспериментальных исследований эффективности адаптивных систем активного гашения (САГ) низкочастотных </w:t>
      </w:r>
      <w:proofErr w:type="spellStart"/>
      <w:r w:rsidRPr="00326E0F">
        <w:rPr>
          <w:sz w:val="28"/>
        </w:rPr>
        <w:t>виброакустических</w:t>
      </w:r>
      <w:proofErr w:type="spellEnd"/>
      <w:r w:rsidRPr="00326E0F">
        <w:rPr>
          <w:sz w:val="28"/>
        </w:rPr>
        <w:t xml:space="preserve"> полей, возбуждаемых источниками полигармонических колебаний.</w:t>
      </w:r>
      <w:r w:rsidR="00964999" w:rsidRPr="00326E0F">
        <w:rPr>
          <w:sz w:val="28"/>
        </w:rPr>
        <w:t xml:space="preserve"> </w:t>
      </w:r>
      <w:r w:rsidRPr="00326E0F">
        <w:rPr>
          <w:sz w:val="28"/>
        </w:rPr>
        <w:t>К таким источникам относятся электрические и дизельные генераторы, электрические двигатели, двигатели внутреннего сгорания, насосы, компрессоры, турбины, вентиляторы и другие источники колебаний, работа которых характеризуются повторяющимися во времени циклами.</w:t>
      </w:r>
      <w:r w:rsidR="00964999" w:rsidRPr="00326E0F">
        <w:rPr>
          <w:sz w:val="28"/>
        </w:rPr>
        <w:t xml:space="preserve"> </w:t>
      </w:r>
      <w:r w:rsidRPr="00326E0F">
        <w:rPr>
          <w:sz w:val="28"/>
        </w:rPr>
        <w:t xml:space="preserve">Представлены результаты испытаний адаптивных САГ в лабораторных, полунатурных и натурных условиях. </w:t>
      </w:r>
    </w:p>
    <w:p w:rsidR="00A16247" w:rsidRPr="00326E0F" w:rsidRDefault="00A16247" w:rsidP="00326E0F">
      <w:pPr>
        <w:pStyle w:val="a7"/>
        <w:spacing w:line="360" w:lineRule="auto"/>
        <w:ind w:firstLine="426"/>
        <w:jc w:val="both"/>
        <w:rPr>
          <w:rFonts w:ascii="Times New Roman" w:hAnsi="Times New Roman"/>
          <w:b w:val="0"/>
          <w:caps w:val="0"/>
          <w:sz w:val="28"/>
        </w:rPr>
      </w:pPr>
      <w:r w:rsidRPr="00326E0F">
        <w:rPr>
          <w:rFonts w:ascii="Times New Roman" w:hAnsi="Times New Roman"/>
          <w:b w:val="0"/>
          <w:caps w:val="0"/>
          <w:sz w:val="28"/>
        </w:rPr>
        <w:t xml:space="preserve">В лабораторных условиях испытания САГ по гашению гармонического шума проводились в заглушенной (безэховой) камере на частотах возбуждения 90 и 180 Гц. Величина гашения в точках контроля (точках установки контрольных микрофонов САГ) лежала в пределах 70 – 80 дБ по </w:t>
      </w:r>
      <w:r w:rsidRPr="00326E0F">
        <w:rPr>
          <w:rFonts w:ascii="Times New Roman" w:hAnsi="Times New Roman"/>
          <w:b w:val="0"/>
          <w:caps w:val="0"/>
          <w:sz w:val="28"/>
        </w:rPr>
        <w:lastRenderedPageBreak/>
        <w:t>каждой частоте</w:t>
      </w:r>
      <w:r w:rsidR="007956B1" w:rsidRPr="00326E0F">
        <w:rPr>
          <w:rFonts w:ascii="Times New Roman" w:hAnsi="Times New Roman"/>
          <w:b w:val="0"/>
          <w:caps w:val="0"/>
          <w:sz w:val="28"/>
        </w:rPr>
        <w:t>.</w:t>
      </w:r>
      <w:r w:rsidRPr="00326E0F">
        <w:rPr>
          <w:rFonts w:ascii="Times New Roman" w:hAnsi="Times New Roman"/>
          <w:b w:val="0"/>
          <w:caps w:val="0"/>
          <w:sz w:val="28"/>
        </w:rPr>
        <w:t xml:space="preserve"> Величина гашения в поле в заданной области пространства при усреднении по 100 точкам наблюдения составила 9.9 дБ на частоте 90 Гц и 8.2 дБ на частоте 180 Гц </w:t>
      </w:r>
    </w:p>
    <w:p w:rsidR="00A16247" w:rsidRPr="00326E0F" w:rsidRDefault="00A16247" w:rsidP="00326E0F">
      <w:pPr>
        <w:pStyle w:val="a7"/>
        <w:spacing w:line="360" w:lineRule="auto"/>
        <w:ind w:firstLine="426"/>
        <w:jc w:val="both"/>
        <w:rPr>
          <w:rFonts w:ascii="Times New Roman" w:hAnsi="Times New Roman"/>
          <w:b w:val="0"/>
          <w:caps w:val="0"/>
          <w:sz w:val="28"/>
        </w:rPr>
      </w:pPr>
      <w:r w:rsidRPr="00326E0F">
        <w:rPr>
          <w:rFonts w:ascii="Times New Roman" w:hAnsi="Times New Roman"/>
          <w:b w:val="0"/>
          <w:caps w:val="0"/>
          <w:sz w:val="28"/>
        </w:rPr>
        <w:t xml:space="preserve">В полунатурных условиях испытания эффективности САГ по гашению шума проводились в помещениях различных транспортных средств: в кабине пилотов </w:t>
      </w:r>
      <w:r w:rsidR="00085316" w:rsidRPr="00326E0F">
        <w:rPr>
          <w:rFonts w:ascii="Times New Roman" w:hAnsi="Times New Roman"/>
          <w:b w:val="0"/>
          <w:caps w:val="0"/>
          <w:sz w:val="28"/>
        </w:rPr>
        <w:t>полномасштабного макета турбовинтового самолета МИГ-110</w:t>
      </w:r>
      <w:r w:rsidRPr="00326E0F">
        <w:rPr>
          <w:rFonts w:ascii="Times New Roman" w:hAnsi="Times New Roman"/>
          <w:b w:val="0"/>
          <w:caps w:val="0"/>
          <w:sz w:val="28"/>
        </w:rPr>
        <w:t xml:space="preserve">, в кабине машинистов локомотива и в салоне легкового автомобиля. При этом исходное поле создавалось с помощью акустических систем, возбуждаемых полигармоническими сигналами. Величина гашения шума в точках контроля во всех случаях лежала в пределах 40 – 70 дБ по каждой частоте возбуждения. Величина гашения в поле в районе головы пилота составила 15 – 20 дБ при возбуждении исходного поля на частоте 120 Гц (1-я лопастная частота). Величина гашения в поле во всем объеме салона автомобиля, усредненная по 175 точкам наблюдения, составила 5.3 дБ при возбуждении исходного поля на частоте 172 Гц. Величина гашения на рабочих местах локомотивной бригады составила 8 – 12 </w:t>
      </w:r>
      <w:proofErr w:type="spellStart"/>
      <w:r w:rsidRPr="00326E0F">
        <w:rPr>
          <w:rFonts w:ascii="Times New Roman" w:hAnsi="Times New Roman"/>
          <w:b w:val="0"/>
          <w:caps w:val="0"/>
          <w:sz w:val="28"/>
        </w:rPr>
        <w:t>дБА</w:t>
      </w:r>
      <w:proofErr w:type="spellEnd"/>
      <w:r w:rsidRPr="00326E0F">
        <w:rPr>
          <w:rFonts w:ascii="Times New Roman" w:hAnsi="Times New Roman"/>
          <w:b w:val="0"/>
          <w:caps w:val="0"/>
          <w:sz w:val="28"/>
        </w:rPr>
        <w:t xml:space="preserve"> при возбуждении исходного поля полигармоническим сигналом с частотами гармоник 90, 180 и 270 Гц.</w:t>
      </w:r>
      <w:r w:rsidR="007956B1" w:rsidRPr="00326E0F">
        <w:rPr>
          <w:rFonts w:ascii="Times New Roman" w:hAnsi="Times New Roman"/>
          <w:b w:val="0"/>
          <w:caps w:val="0"/>
          <w:sz w:val="28"/>
        </w:rPr>
        <w:t xml:space="preserve"> </w:t>
      </w:r>
      <w:r w:rsidRPr="00326E0F">
        <w:rPr>
          <w:rFonts w:ascii="Times New Roman" w:hAnsi="Times New Roman"/>
          <w:b w:val="0"/>
          <w:caps w:val="0"/>
          <w:sz w:val="28"/>
        </w:rPr>
        <w:t xml:space="preserve">Время переходного процесса </w:t>
      </w:r>
      <w:proofErr w:type="gramStart"/>
      <w:r w:rsidRPr="00326E0F">
        <w:rPr>
          <w:rFonts w:ascii="Times New Roman" w:hAnsi="Times New Roman"/>
          <w:b w:val="0"/>
          <w:caps w:val="0"/>
          <w:sz w:val="28"/>
        </w:rPr>
        <w:t>в</w:t>
      </w:r>
      <w:proofErr w:type="gramEnd"/>
      <w:r w:rsidRPr="00326E0F">
        <w:rPr>
          <w:rFonts w:ascii="Times New Roman" w:hAnsi="Times New Roman"/>
          <w:b w:val="0"/>
          <w:caps w:val="0"/>
          <w:sz w:val="28"/>
        </w:rPr>
        <w:t xml:space="preserve"> </w:t>
      </w:r>
      <w:proofErr w:type="gramStart"/>
      <w:r w:rsidRPr="00326E0F">
        <w:rPr>
          <w:rFonts w:ascii="Times New Roman" w:hAnsi="Times New Roman"/>
          <w:b w:val="0"/>
          <w:caps w:val="0"/>
          <w:sz w:val="28"/>
        </w:rPr>
        <w:t>САГ</w:t>
      </w:r>
      <w:proofErr w:type="gramEnd"/>
      <w:r w:rsidRPr="00326E0F">
        <w:rPr>
          <w:rFonts w:ascii="Times New Roman" w:hAnsi="Times New Roman"/>
          <w:b w:val="0"/>
          <w:caps w:val="0"/>
          <w:sz w:val="28"/>
        </w:rPr>
        <w:t>, определяющее ее быстродействие, при испытаниях в полунатурных и лабораторных условиях составило 1 секунду.</w:t>
      </w:r>
    </w:p>
    <w:p w:rsidR="00A16247" w:rsidRPr="00326E0F" w:rsidRDefault="00A16247" w:rsidP="00326E0F">
      <w:pPr>
        <w:pStyle w:val="a7"/>
        <w:spacing w:line="360" w:lineRule="auto"/>
        <w:ind w:firstLine="426"/>
        <w:jc w:val="both"/>
        <w:rPr>
          <w:rFonts w:ascii="Times New Roman" w:hAnsi="Times New Roman"/>
          <w:b w:val="0"/>
          <w:caps w:val="0"/>
          <w:sz w:val="28"/>
        </w:rPr>
      </w:pPr>
      <w:r w:rsidRPr="00326E0F">
        <w:rPr>
          <w:rFonts w:ascii="Times New Roman" w:hAnsi="Times New Roman"/>
          <w:b w:val="0"/>
          <w:caps w:val="0"/>
          <w:sz w:val="28"/>
        </w:rPr>
        <w:t xml:space="preserve">В натурных условиях проводилось испытание САГ по гашению вибрации фундамента, возбуждаемого на оборотных частотах 49.5 и 49.6 Гц двумя судовыми турбогенераторами. Величина гашения вибраций, усредненная по 12 точкам контроля (точкам установки контрольных акселерометров САГ), составила 25 дБ по каждой частоте возбуждения. </w:t>
      </w:r>
    </w:p>
    <w:sectPr w:rsidR="00A16247" w:rsidRPr="00326E0F" w:rsidSect="007D66B5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A16247"/>
    <w:rsid w:val="00085316"/>
    <w:rsid w:val="002B34A0"/>
    <w:rsid w:val="002F0B9D"/>
    <w:rsid w:val="00326E0F"/>
    <w:rsid w:val="007956B1"/>
    <w:rsid w:val="007D66B5"/>
    <w:rsid w:val="00964999"/>
    <w:rsid w:val="00A16247"/>
    <w:rsid w:val="00AC1A08"/>
    <w:rsid w:val="00B520D1"/>
    <w:rsid w:val="00D909FA"/>
    <w:rsid w:val="00EA7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6B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D66B5"/>
  </w:style>
  <w:style w:type="character" w:customStyle="1" w:styleId="a4">
    <w:name w:val="Îñíîâíîé øðèôò"/>
    <w:rsid w:val="007D66B5"/>
  </w:style>
  <w:style w:type="paragraph" w:customStyle="1" w:styleId="2">
    <w:name w:val="Îñíîâíîé òåêñò 2"/>
    <w:basedOn w:val="a3"/>
    <w:rsid w:val="007D66B5"/>
    <w:pPr>
      <w:ind w:firstLine="720"/>
      <w:jc w:val="both"/>
    </w:pPr>
    <w:rPr>
      <w:sz w:val="24"/>
    </w:rPr>
  </w:style>
  <w:style w:type="paragraph" w:customStyle="1" w:styleId="20">
    <w:name w:val="Îñíîâíîé òåêñò ñ îòñòóïîì 2"/>
    <w:basedOn w:val="a3"/>
    <w:rsid w:val="007D66B5"/>
    <w:pPr>
      <w:ind w:firstLine="709"/>
      <w:jc w:val="both"/>
    </w:pPr>
    <w:rPr>
      <w:sz w:val="24"/>
    </w:rPr>
  </w:style>
  <w:style w:type="character" w:customStyle="1" w:styleId="a5">
    <w:name w:val="Ãèïåðññûëêà"/>
    <w:basedOn w:val="a4"/>
    <w:rsid w:val="007D66B5"/>
    <w:rPr>
      <w:color w:val="0000FF"/>
      <w:u w:val="single"/>
    </w:rPr>
  </w:style>
  <w:style w:type="paragraph" w:styleId="a6">
    <w:name w:val="header"/>
    <w:basedOn w:val="a"/>
    <w:rsid w:val="007D66B5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7D66B5"/>
    <w:pPr>
      <w:jc w:val="center"/>
    </w:pPr>
    <w:rPr>
      <w:rFonts w:ascii="Arial" w:hAnsi="Arial"/>
      <w:b/>
      <w:caps/>
      <w:snapToGrid w:val="0"/>
      <w:color w:val="000000"/>
      <w:sz w:val="24"/>
      <w:lang w:val="ru-RU"/>
    </w:rPr>
  </w:style>
  <w:style w:type="character" w:styleId="a8">
    <w:name w:val="Hyperlink"/>
    <w:basedOn w:val="a0"/>
    <w:uiPriority w:val="99"/>
    <w:rsid w:val="007D66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Îáû÷íûé"/>
  </w:style>
  <w:style w:type="character" w:customStyle="1" w:styleId="a4">
    <w:name w:val="Îñíîâíîé øðèôò"/>
  </w:style>
  <w:style w:type="paragraph" w:customStyle="1" w:styleId="2">
    <w:name w:val="Îñíîâíîé òåêñò 2"/>
    <w:basedOn w:val="a3"/>
    <w:pPr>
      <w:ind w:firstLine="720"/>
      <w:jc w:val="both"/>
    </w:pPr>
    <w:rPr>
      <w:sz w:val="24"/>
    </w:rPr>
  </w:style>
  <w:style w:type="paragraph" w:customStyle="1" w:styleId="20">
    <w:name w:val="Îñíîâíîé òåêñò ñ îòñòóïîì 2"/>
    <w:basedOn w:val="a3"/>
    <w:pPr>
      <w:ind w:firstLine="709"/>
      <w:jc w:val="both"/>
    </w:pPr>
    <w:rPr>
      <w:sz w:val="24"/>
    </w:rPr>
  </w:style>
  <w:style w:type="character" w:customStyle="1" w:styleId="a5">
    <w:name w:val="Ãèïåðññûëêà"/>
    <w:basedOn w:val="a4"/>
    <w:rPr>
      <w:color w:val="0000FF"/>
      <w:u w:val="single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pPr>
      <w:jc w:val="center"/>
    </w:pPr>
    <w:rPr>
      <w:rFonts w:ascii="Arial" w:hAnsi="Arial"/>
      <w:b/>
      <w:caps/>
      <w:snapToGrid w:val="0"/>
      <w:color w:val="000000"/>
      <w:sz w:val="24"/>
      <w:lang w:val="ru-RU"/>
    </w:rPr>
  </w:style>
  <w:style w:type="character" w:styleId="a8">
    <w:name w:val="Hyperlink"/>
    <w:basedOn w:val="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s@ak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534</vt:lpstr>
    </vt:vector>
  </TitlesOfParts>
  <Company>Akin</Company>
  <LinksUpToDate>false</LinksUpToDate>
  <CharactersWithSpaces>3271</CharactersWithSpaces>
  <SharedDoc>false</SharedDoc>
  <HLinks>
    <vt:vector size="6" baseType="variant">
      <vt:variant>
        <vt:i4>3145756</vt:i4>
      </vt:variant>
      <vt:variant>
        <vt:i4>0</vt:i4>
      </vt:variant>
      <vt:variant>
        <vt:i4>0</vt:i4>
      </vt:variant>
      <vt:variant>
        <vt:i4>5</vt:i4>
      </vt:variant>
      <vt:variant>
        <vt:lpwstr>mailto:ras@akin.ru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534</dc:title>
  <dc:creator>lubash</dc:creator>
  <cp:lastModifiedBy>Пользователь Windows</cp:lastModifiedBy>
  <cp:revision>3</cp:revision>
  <cp:lastPrinted>2009-02-24T11:14:00Z</cp:lastPrinted>
  <dcterms:created xsi:type="dcterms:W3CDTF">2015-02-20T08:56:00Z</dcterms:created>
  <dcterms:modified xsi:type="dcterms:W3CDTF">2015-04-09T09:19:00Z</dcterms:modified>
</cp:coreProperties>
</file>